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672F4" w14:textId="77777777" w:rsidR="00B52ABF" w:rsidRDefault="00B52ABF">
      <w:pPr>
        <w:rPr>
          <w:rFonts w:ascii="Times" w:hAnsi="Times" w:cs="Times"/>
          <w:color w:val="0A0000"/>
          <w:sz w:val="32"/>
          <w:szCs w:val="32"/>
        </w:rPr>
      </w:pPr>
    </w:p>
    <w:p w14:paraId="41023C63" w14:textId="65C03613" w:rsidR="000311AA" w:rsidRPr="002B4097" w:rsidRDefault="00B52ABF" w:rsidP="002B4097">
      <w:pPr>
        <w:pStyle w:val="Puesto"/>
        <w:jc w:val="center"/>
      </w:pPr>
      <w:r w:rsidRPr="00881DBC">
        <w:t>Teoría de la Agenda Setting</w:t>
      </w:r>
    </w:p>
    <w:p w14:paraId="484EE80F" w14:textId="77777777" w:rsidR="000311AA" w:rsidRPr="000311AA" w:rsidRDefault="000311AA" w:rsidP="000311AA"/>
    <w:p w14:paraId="0C2BC1B7" w14:textId="77777777" w:rsidR="00881DBC" w:rsidRPr="00881DBC" w:rsidRDefault="00881DBC" w:rsidP="00881DBC"/>
    <w:p w14:paraId="05B34B45" w14:textId="2F3FC7D3" w:rsidR="00153682" w:rsidRPr="005F5784" w:rsidRDefault="00153682" w:rsidP="00153682">
      <w:pPr>
        <w:rPr>
          <w:rFonts w:ascii="Arial" w:hAnsi="Arial" w:cs="Arial"/>
          <w:color w:val="000000" w:themeColor="text1"/>
        </w:rPr>
      </w:pPr>
      <w:r w:rsidRPr="005F5784">
        <w:rPr>
          <w:rFonts w:ascii="Arial" w:hAnsi="Arial" w:cs="Arial"/>
          <w:color w:val="000000" w:themeColor="text1"/>
        </w:rPr>
        <w:t xml:space="preserve">En su </w:t>
      </w:r>
      <w:r w:rsidR="00E93FE1" w:rsidRPr="005F5784">
        <w:rPr>
          <w:rFonts w:ascii="Arial" w:hAnsi="Arial" w:cs="Arial"/>
          <w:color w:val="000000" w:themeColor="text1"/>
        </w:rPr>
        <w:t>formulación</w:t>
      </w:r>
      <w:r w:rsidRPr="005F5784">
        <w:rPr>
          <w:rFonts w:ascii="Arial" w:hAnsi="Arial" w:cs="Arial"/>
          <w:color w:val="000000" w:themeColor="text1"/>
        </w:rPr>
        <w:t xml:space="preserve"> </w:t>
      </w:r>
      <w:r w:rsidR="00E93FE1" w:rsidRPr="005F5784">
        <w:rPr>
          <w:rFonts w:ascii="Arial" w:hAnsi="Arial" w:cs="Arial"/>
          <w:color w:val="000000" w:themeColor="text1"/>
        </w:rPr>
        <w:t>más</w:t>
      </w:r>
      <w:r w:rsidRPr="005F5784">
        <w:rPr>
          <w:rFonts w:ascii="Arial" w:hAnsi="Arial" w:cs="Arial"/>
          <w:color w:val="000000" w:themeColor="text1"/>
        </w:rPr>
        <w:t xml:space="preserve"> </w:t>
      </w:r>
      <w:r w:rsidR="00E93FE1" w:rsidRPr="005F5784">
        <w:rPr>
          <w:rFonts w:ascii="Arial" w:hAnsi="Arial" w:cs="Arial"/>
          <w:color w:val="000000" w:themeColor="text1"/>
        </w:rPr>
        <w:t>básica</w:t>
      </w:r>
      <w:r w:rsidRPr="005F5784">
        <w:rPr>
          <w:rFonts w:ascii="Arial" w:hAnsi="Arial" w:cs="Arial"/>
          <w:color w:val="000000" w:themeColor="text1"/>
        </w:rPr>
        <w:t xml:space="preserve"> los estudios de Agenda Setting investigan el impacto de los medios masivos de </w:t>
      </w:r>
      <w:r w:rsidR="00E93FE1" w:rsidRPr="005F5784">
        <w:rPr>
          <w:rFonts w:ascii="Arial" w:hAnsi="Arial" w:cs="Arial"/>
          <w:color w:val="000000" w:themeColor="text1"/>
        </w:rPr>
        <w:t>comunicación</w:t>
      </w:r>
      <w:r w:rsidRPr="005F5784">
        <w:rPr>
          <w:rFonts w:ascii="Arial" w:hAnsi="Arial" w:cs="Arial"/>
          <w:color w:val="000000" w:themeColor="text1"/>
        </w:rPr>
        <w:t xml:space="preserve"> en la agenda </w:t>
      </w:r>
      <w:r w:rsidR="00E93FE1" w:rsidRPr="005F5784">
        <w:rPr>
          <w:rFonts w:ascii="Arial" w:hAnsi="Arial" w:cs="Arial"/>
          <w:color w:val="000000" w:themeColor="text1"/>
        </w:rPr>
        <w:t>pública</w:t>
      </w:r>
      <w:r w:rsidR="006E5E46" w:rsidRPr="005F5784">
        <w:rPr>
          <w:rFonts w:ascii="Arial" w:hAnsi="Arial" w:cs="Arial"/>
          <w:color w:val="000000" w:themeColor="text1"/>
        </w:rPr>
        <w:t xml:space="preserve">, </w:t>
      </w:r>
      <w:r w:rsidRPr="005F5784">
        <w:rPr>
          <w:rFonts w:ascii="Arial" w:hAnsi="Arial" w:cs="Arial"/>
          <w:color w:val="000000" w:themeColor="text1"/>
        </w:rPr>
        <w:t xml:space="preserve">en general la </w:t>
      </w:r>
      <w:r w:rsidR="00E93FE1" w:rsidRPr="005F5784">
        <w:rPr>
          <w:rFonts w:ascii="Arial" w:hAnsi="Arial" w:cs="Arial"/>
          <w:color w:val="000000" w:themeColor="text1"/>
        </w:rPr>
        <w:t>metodología</w:t>
      </w:r>
      <w:r w:rsidRPr="005F5784">
        <w:rPr>
          <w:rFonts w:ascii="Arial" w:hAnsi="Arial" w:cs="Arial"/>
          <w:color w:val="000000" w:themeColor="text1"/>
        </w:rPr>
        <w:t xml:space="preserve"> ha sido de tipo cuantitativa, y algunos de estos nuevos conceptos </w:t>
      </w:r>
      <w:r w:rsidR="00E93FE1" w:rsidRPr="005F5784">
        <w:rPr>
          <w:rFonts w:ascii="Arial" w:hAnsi="Arial" w:cs="Arial"/>
          <w:color w:val="000000" w:themeColor="text1"/>
        </w:rPr>
        <w:t>aun</w:t>
      </w:r>
      <w:r w:rsidRPr="005F5784">
        <w:rPr>
          <w:rFonts w:ascii="Arial" w:hAnsi="Arial" w:cs="Arial"/>
          <w:color w:val="000000" w:themeColor="text1"/>
        </w:rPr>
        <w:t xml:space="preserve"> no cuentan con </w:t>
      </w:r>
      <w:r w:rsidR="00E93FE1" w:rsidRPr="005F5784">
        <w:rPr>
          <w:rFonts w:ascii="Arial" w:hAnsi="Arial" w:cs="Arial"/>
          <w:color w:val="000000" w:themeColor="text1"/>
        </w:rPr>
        <w:t>traducción</w:t>
      </w:r>
      <w:r w:rsidRPr="005F5784">
        <w:rPr>
          <w:rFonts w:ascii="Arial" w:hAnsi="Arial" w:cs="Arial"/>
          <w:color w:val="000000" w:themeColor="text1"/>
        </w:rPr>
        <w:t xml:space="preserve">; framing, media agenda building, policy representation, public responsiveness, por mencionar </w:t>
      </w:r>
      <w:r w:rsidR="00E93FE1" w:rsidRPr="005F5784">
        <w:rPr>
          <w:rFonts w:ascii="Arial" w:hAnsi="Arial" w:cs="Arial"/>
          <w:color w:val="000000" w:themeColor="text1"/>
        </w:rPr>
        <w:t>solo</w:t>
      </w:r>
      <w:r w:rsidRPr="005F5784">
        <w:rPr>
          <w:rFonts w:ascii="Arial" w:hAnsi="Arial" w:cs="Arial"/>
          <w:color w:val="000000" w:themeColor="text1"/>
        </w:rPr>
        <w:t xml:space="preserve"> algunos.</w:t>
      </w:r>
    </w:p>
    <w:p w14:paraId="636CD992" w14:textId="77777777" w:rsidR="006E5E46" w:rsidRPr="005F5784" w:rsidRDefault="006E5E46" w:rsidP="006E5E46">
      <w:pPr>
        <w:rPr>
          <w:rFonts w:ascii="Arial" w:hAnsi="Arial" w:cs="Arial"/>
          <w:color w:val="000000" w:themeColor="text1"/>
        </w:rPr>
      </w:pPr>
      <w:r w:rsidRPr="005F5784">
        <w:rPr>
          <w:rFonts w:ascii="Arial" w:hAnsi="Arial" w:cs="Arial"/>
          <w:color w:val="000000" w:themeColor="text1"/>
        </w:rPr>
        <w:t>Refiriéndose a la teoría de la agenda setting McCombs señala:</w:t>
      </w:r>
    </w:p>
    <w:p w14:paraId="61E391D3" w14:textId="77777777" w:rsidR="006E5E46" w:rsidRPr="005F5784" w:rsidRDefault="006E5E46" w:rsidP="006E5E46">
      <w:pPr>
        <w:rPr>
          <w:rFonts w:ascii="Arial" w:hAnsi="Arial" w:cs="Arial"/>
          <w:color w:val="000000" w:themeColor="text1"/>
        </w:rPr>
      </w:pPr>
    </w:p>
    <w:p w14:paraId="725E390B" w14:textId="50700E11" w:rsidR="006E5E46" w:rsidRDefault="006E5E46" w:rsidP="006E5E46">
      <w:pPr>
        <w:spacing w:line="480" w:lineRule="auto"/>
        <w:ind w:left="708"/>
        <w:jc w:val="both"/>
        <w:rPr>
          <w:rFonts w:ascii="Arial" w:hAnsi="Arial" w:cs="Arial"/>
          <w:color w:val="000000" w:themeColor="text1"/>
        </w:rPr>
      </w:pPr>
      <w:r w:rsidRPr="005F5784">
        <w:rPr>
          <w:rFonts w:ascii="Arial" w:hAnsi="Arial" w:cs="Arial"/>
          <w:color w:val="000000" w:themeColor="text1"/>
        </w:rPr>
        <w:t xml:space="preserve">Hablar de agenda-setting como anglicismo es referirse al conjunto de temas seleccionados para formar parte de un índice o agenda. </w:t>
      </w:r>
      <w:r w:rsidR="002B4097">
        <w:rPr>
          <w:rFonts w:ascii="Arial" w:hAnsi="Arial" w:cs="Arial"/>
          <w:color w:val="000000" w:themeColor="text1"/>
        </w:rPr>
        <w:t>En este sentido, lo que plan</w:t>
      </w:r>
      <w:r w:rsidRPr="005F5784">
        <w:rPr>
          <w:rFonts w:ascii="Arial" w:hAnsi="Arial" w:cs="Arial"/>
          <w:color w:val="000000" w:themeColor="text1"/>
        </w:rPr>
        <w:t>tea la teoría es que los medios de comunicación cuentan en su haber o seleccionan de alguna manera el índice de temas resaltados, temas o índices que serán traspasados por la agenda de los medios a la agenda del publico. Su nombre metafórico proviene de la noción de que los más media son capaces de transferir la relevancia de una noticia e</w:t>
      </w:r>
      <w:r w:rsidRPr="005F5784">
        <w:rPr>
          <w:rFonts w:ascii="Arial" w:hAnsi="Arial" w:cs="Arial"/>
          <w:color w:val="000000" w:themeColor="text1"/>
        </w:rPr>
        <w:t>n su agenda a la de la sociedad</w:t>
      </w:r>
      <w:r w:rsidRPr="005F5784">
        <w:rPr>
          <w:rFonts w:ascii="Arial" w:hAnsi="Arial" w:cs="Arial"/>
          <w:color w:val="000000" w:themeColor="text1"/>
        </w:rPr>
        <w:t xml:space="preserve"> (McCombs, 1996, p.17).</w:t>
      </w:r>
    </w:p>
    <w:p w14:paraId="75D88D2C" w14:textId="0FCA6189" w:rsidR="002B4097" w:rsidRDefault="002B4097" w:rsidP="0039498A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Es decir la teoría de la agenda del setting </w:t>
      </w:r>
      <w:r w:rsidR="0039498A">
        <w:rPr>
          <w:rFonts w:ascii="Arial" w:hAnsi="Arial" w:cs="Arial"/>
          <w:color w:val="000000" w:themeColor="text1"/>
        </w:rPr>
        <w:t xml:space="preserve">se centra en estudiar como la agenda establecida por los medios de comunicación influyen en la agenda del publico. </w:t>
      </w:r>
    </w:p>
    <w:p w14:paraId="620C7AF1" w14:textId="77777777" w:rsidR="00AB6892" w:rsidRPr="005F5784" w:rsidRDefault="00AB6892" w:rsidP="0039498A">
      <w:pPr>
        <w:jc w:val="both"/>
        <w:rPr>
          <w:rFonts w:ascii="Arial" w:hAnsi="Arial" w:cs="Arial"/>
          <w:color w:val="000000" w:themeColor="text1"/>
        </w:rPr>
      </w:pPr>
      <w:bookmarkStart w:id="0" w:name="_GoBack"/>
      <w:bookmarkEnd w:id="0"/>
    </w:p>
    <w:p w14:paraId="23BF62B1" w14:textId="77777777" w:rsidR="006E5E46" w:rsidRPr="005F5784" w:rsidRDefault="006E5E46" w:rsidP="0039498A">
      <w:pPr>
        <w:rPr>
          <w:rFonts w:ascii="Arial" w:hAnsi="Arial" w:cs="Arial"/>
          <w:color w:val="000000" w:themeColor="text1"/>
        </w:rPr>
      </w:pPr>
      <w:r w:rsidRPr="005F5784">
        <w:rPr>
          <w:rFonts w:ascii="Arial" w:hAnsi="Arial" w:cs="Arial"/>
          <w:color w:val="000000" w:themeColor="text1"/>
        </w:rPr>
        <w:t>Para completar esta información, la opinión acerca de este tema pero a partir de lo que agrega López Escobar es:</w:t>
      </w:r>
    </w:p>
    <w:p w14:paraId="0039F859" w14:textId="77777777" w:rsidR="006E5E46" w:rsidRPr="005F5784" w:rsidRDefault="006E5E46" w:rsidP="006E5E46">
      <w:pPr>
        <w:rPr>
          <w:rFonts w:ascii="Arial" w:hAnsi="Arial" w:cs="Arial"/>
          <w:color w:val="000000" w:themeColor="text1"/>
        </w:rPr>
      </w:pPr>
    </w:p>
    <w:p w14:paraId="4AF90BDA" w14:textId="77777777" w:rsidR="006E5E46" w:rsidRPr="005F5784" w:rsidRDefault="006E5E46" w:rsidP="006E5E46">
      <w:pPr>
        <w:spacing w:line="480" w:lineRule="auto"/>
        <w:ind w:left="708"/>
        <w:jc w:val="both"/>
        <w:rPr>
          <w:rFonts w:ascii="Arial" w:hAnsi="Arial" w:cs="Arial"/>
          <w:color w:val="000000" w:themeColor="text1"/>
        </w:rPr>
      </w:pPr>
      <w:r w:rsidRPr="005F5784">
        <w:rPr>
          <w:rFonts w:ascii="Arial" w:hAnsi="Arial" w:cs="Arial"/>
          <w:color w:val="000000" w:themeColor="text1"/>
        </w:rPr>
        <w:t xml:space="preserve">Con la Teoría de la agenda-setting se consolidó un método empírico para mostrar como los medios de difusión consiguen transferir a sus audiencias las listas jerarquizadoras de los temas o problemas más destacados para la sociedad. Mediante el análisis de contenido de los medios y el sondeo a la audiencia se descubre que, en efecto, existe una elevada correlación entre los temas a los que dan importancia los medios de difusión y los que </w:t>
      </w:r>
      <w:r w:rsidRPr="005F5784">
        <w:rPr>
          <w:rFonts w:ascii="Arial" w:hAnsi="Arial" w:cs="Arial"/>
          <w:color w:val="000000" w:themeColor="text1"/>
        </w:rPr>
        <w:lastRenderedPageBreak/>
        <w:t>interesan a sus audiencias. (López-Escobar, et al., 1996e, p. 9).</w:t>
      </w:r>
      <w:r w:rsidRPr="005F5784">
        <w:rPr>
          <w:rFonts w:ascii="Arial" w:hAnsi="Arial" w:cs="Arial"/>
          <w:color w:val="000000" w:themeColor="text1"/>
        </w:rPr>
        <w:cr/>
      </w:r>
    </w:p>
    <w:p w14:paraId="68505532" w14:textId="69F64D96" w:rsidR="00153682" w:rsidRPr="005F5784" w:rsidRDefault="00153682" w:rsidP="00153682">
      <w:pPr>
        <w:rPr>
          <w:rFonts w:ascii="Arial" w:hAnsi="Arial" w:cs="Arial"/>
          <w:color w:val="000000" w:themeColor="text1"/>
        </w:rPr>
      </w:pPr>
      <w:r w:rsidRPr="005F5784">
        <w:rPr>
          <w:rFonts w:ascii="Arial" w:hAnsi="Arial" w:cs="Arial"/>
          <w:color w:val="000000" w:themeColor="text1"/>
        </w:rPr>
        <w:t xml:space="preserve">El primer concepto a definir es el concepto de agenda. En los estudios de agenda setting el concepto de agenda es muy simple y se refiere </w:t>
      </w:r>
      <w:r w:rsidR="006E5E46" w:rsidRPr="005F5784">
        <w:rPr>
          <w:rFonts w:ascii="Arial" w:hAnsi="Arial" w:cs="Arial"/>
          <w:color w:val="000000" w:themeColor="text1"/>
        </w:rPr>
        <w:t>a una lista de asuntos o temas, e</w:t>
      </w:r>
      <w:r w:rsidRPr="005F5784">
        <w:rPr>
          <w:rFonts w:ascii="Arial" w:hAnsi="Arial" w:cs="Arial"/>
          <w:color w:val="000000" w:themeColor="text1"/>
        </w:rPr>
        <w:t>ntre las agendas estudiada</w:t>
      </w:r>
      <w:r w:rsidR="006E5E46" w:rsidRPr="005F5784">
        <w:rPr>
          <w:rFonts w:ascii="Arial" w:hAnsi="Arial" w:cs="Arial"/>
          <w:color w:val="000000" w:themeColor="text1"/>
        </w:rPr>
        <w:t>s en las investigaciones se pueden mencionar tres de gran relevancia.</w:t>
      </w:r>
    </w:p>
    <w:p w14:paraId="69CB427F" w14:textId="383932E7" w:rsidR="00153682" w:rsidRPr="005F5784" w:rsidRDefault="006E5E46" w:rsidP="006E5E46">
      <w:pPr>
        <w:pStyle w:val="Ttulo1"/>
        <w:rPr>
          <w:rFonts w:ascii="Arial" w:hAnsi="Arial" w:cs="Arial"/>
          <w:color w:val="000000" w:themeColor="text1"/>
          <w:sz w:val="24"/>
          <w:szCs w:val="24"/>
        </w:rPr>
      </w:pPr>
      <w:r w:rsidRPr="005F5784">
        <w:rPr>
          <w:rFonts w:ascii="Arial" w:hAnsi="Arial" w:cs="Arial"/>
          <w:color w:val="000000" w:themeColor="text1"/>
          <w:sz w:val="24"/>
          <w:szCs w:val="24"/>
        </w:rPr>
        <w:t>Por un lado tenemos l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a Agenda </w:t>
      </w:r>
      <w:r w:rsidR="00E93FE1" w:rsidRPr="005F5784">
        <w:rPr>
          <w:rFonts w:ascii="Arial" w:hAnsi="Arial" w:cs="Arial"/>
          <w:color w:val="000000" w:themeColor="text1"/>
          <w:sz w:val="24"/>
          <w:szCs w:val="24"/>
        </w:rPr>
        <w:t>Pública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 xml:space="preserve">, que 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puede ser definida como la lista de asuntos que el </w:t>
      </w:r>
      <w:r w:rsidR="00E93FE1" w:rsidRPr="005F5784">
        <w:rPr>
          <w:rFonts w:ascii="Arial" w:hAnsi="Arial" w:cs="Arial"/>
          <w:color w:val="000000" w:themeColor="text1"/>
          <w:sz w:val="24"/>
          <w:szCs w:val="24"/>
        </w:rPr>
        <w:t>publico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considera importantes,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 xml:space="preserve"> en segundo aspecto esta la a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>genda de los medios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 xml:space="preserve">, la cual </w:t>
      </w:r>
      <w:r w:rsidR="00E93FE1" w:rsidRPr="005F5784">
        <w:rPr>
          <w:rFonts w:ascii="Arial" w:hAnsi="Arial" w:cs="Arial"/>
          <w:color w:val="000000" w:themeColor="text1"/>
          <w:sz w:val="24"/>
          <w:szCs w:val="24"/>
        </w:rPr>
        <w:t>podría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definirse como la lista de asuntos con cobertura </w:t>
      </w:r>
      <w:r w:rsidR="00E93FE1" w:rsidRPr="005F5784">
        <w:rPr>
          <w:rFonts w:ascii="Arial" w:hAnsi="Arial" w:cs="Arial"/>
          <w:color w:val="000000" w:themeColor="text1"/>
          <w:sz w:val="24"/>
          <w:szCs w:val="24"/>
        </w:rPr>
        <w:t>mediática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, y por ultimo encontramos la a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genda </w:t>
      </w:r>
      <w:r w:rsidR="00E93FE1" w:rsidRPr="005F5784">
        <w:rPr>
          <w:rFonts w:ascii="Arial" w:hAnsi="Arial" w:cs="Arial"/>
          <w:color w:val="000000" w:themeColor="text1"/>
          <w:sz w:val="24"/>
          <w:szCs w:val="24"/>
        </w:rPr>
        <w:t>política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definida como la lista de asuntos que los </w:t>
      </w:r>
      <w:r w:rsidR="00E93FE1" w:rsidRPr="005F5784">
        <w:rPr>
          <w:rFonts w:ascii="Arial" w:hAnsi="Arial" w:cs="Arial"/>
          <w:color w:val="000000" w:themeColor="text1"/>
          <w:sz w:val="24"/>
          <w:szCs w:val="24"/>
        </w:rPr>
        <w:t>políticos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consideran importantes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8EEA968" w14:textId="7A277354" w:rsidR="00153682" w:rsidRPr="005F5784" w:rsidRDefault="00E93FE1" w:rsidP="006E5E46">
      <w:pPr>
        <w:pStyle w:val="Ttulo1"/>
        <w:rPr>
          <w:rFonts w:ascii="Arial" w:hAnsi="Arial" w:cs="Arial"/>
          <w:color w:val="000000" w:themeColor="text1"/>
          <w:sz w:val="24"/>
          <w:szCs w:val="24"/>
        </w:rPr>
      </w:pPr>
      <w:r w:rsidRPr="005F5784">
        <w:rPr>
          <w:rFonts w:ascii="Arial" w:hAnsi="Arial" w:cs="Arial"/>
          <w:color w:val="000000" w:themeColor="text1"/>
          <w:sz w:val="24"/>
          <w:szCs w:val="24"/>
        </w:rPr>
        <w:t>Metodología</w:t>
      </w:r>
      <w:r w:rsidR="006E5E46" w:rsidRPr="005F5784">
        <w:rPr>
          <w:rFonts w:ascii="Arial" w:hAnsi="Arial" w:cs="Arial"/>
          <w:color w:val="000000" w:themeColor="text1"/>
          <w:sz w:val="24"/>
          <w:szCs w:val="24"/>
        </w:rPr>
        <w:t xml:space="preserve"> de esta Teoria de Settings son apartir de l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as investigaciones con 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diseños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transversales estudian la 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relación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entre unidades de 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análisis</w:t>
      </w:r>
      <w:r w:rsidR="006E5E46" w:rsidRPr="005F5784">
        <w:rPr>
          <w:rFonts w:ascii="Arial" w:hAnsi="Arial" w:cs="Arial"/>
          <w:color w:val="000000" w:themeColor="text1"/>
          <w:sz w:val="24"/>
          <w:szCs w:val="24"/>
        </w:rPr>
        <w:t xml:space="preserve"> en un punto del tiempo, un método es el </w:t>
      </w:r>
      <w:r w:rsidR="006E5E46" w:rsidRPr="005F5784">
        <w:rPr>
          <w:rStyle w:val="Ttulo2Car"/>
          <w:rFonts w:ascii="Arial" w:hAnsi="Arial" w:cs="Arial"/>
          <w:color w:val="000000" w:themeColor="text1"/>
          <w:sz w:val="24"/>
          <w:szCs w:val="24"/>
        </w:rPr>
        <w:t>d</w:t>
      </w:r>
      <w:r w:rsidRPr="005F5784">
        <w:rPr>
          <w:rStyle w:val="Ttulo2Car"/>
          <w:rFonts w:ascii="Arial" w:hAnsi="Arial" w:cs="Arial"/>
          <w:color w:val="000000" w:themeColor="text1"/>
          <w:sz w:val="24"/>
          <w:szCs w:val="24"/>
        </w:rPr>
        <w:t>iseños</w:t>
      </w:r>
      <w:r w:rsidR="00153682" w:rsidRPr="005F5784">
        <w:rPr>
          <w:rStyle w:val="Ttulo2Car"/>
          <w:rFonts w:ascii="Arial" w:hAnsi="Arial" w:cs="Arial"/>
          <w:color w:val="000000" w:themeColor="text1"/>
          <w:sz w:val="24"/>
          <w:szCs w:val="24"/>
        </w:rPr>
        <w:t xml:space="preserve"> panel y de series temporales</w:t>
      </w:r>
      <w:r w:rsidR="006E5E46" w:rsidRPr="005F5784">
        <w:rPr>
          <w:rFonts w:ascii="Arial" w:hAnsi="Arial" w:cs="Arial"/>
          <w:color w:val="000000" w:themeColor="text1"/>
          <w:sz w:val="24"/>
          <w:szCs w:val="24"/>
        </w:rPr>
        <w:t xml:space="preserve">, los cuales 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son denominados 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diseños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de tipo longitudinal por 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contraposición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a los 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diseños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transversales son usados para examinar diferencias o cambios en unidades de 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análisis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a 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través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del tiempo. En los 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diseños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panel, se observa el comportamiento de una o mas variables para varias unidades de 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análisis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en dos o </w:t>
      </w:r>
      <w:r w:rsidRPr="005F5784">
        <w:rPr>
          <w:rFonts w:ascii="Arial" w:hAnsi="Arial" w:cs="Arial"/>
          <w:color w:val="000000" w:themeColor="text1"/>
          <w:sz w:val="24"/>
          <w:szCs w:val="24"/>
        </w:rPr>
        <w:t>más</w:t>
      </w:r>
      <w:r w:rsidR="00153682" w:rsidRPr="005F5784">
        <w:rPr>
          <w:rFonts w:ascii="Arial" w:hAnsi="Arial" w:cs="Arial"/>
          <w:color w:val="000000" w:themeColor="text1"/>
          <w:sz w:val="24"/>
          <w:szCs w:val="24"/>
        </w:rPr>
        <w:t xml:space="preserve"> puntos en el tiempo.</w:t>
      </w:r>
    </w:p>
    <w:p w14:paraId="7B4C4DBE" w14:textId="77777777" w:rsidR="001F39E5" w:rsidRPr="005F5784" w:rsidRDefault="001F39E5" w:rsidP="00153682">
      <w:pPr>
        <w:rPr>
          <w:rFonts w:ascii="Arial" w:hAnsi="Arial" w:cs="Arial"/>
          <w:color w:val="000000" w:themeColor="text1"/>
        </w:rPr>
      </w:pPr>
    </w:p>
    <w:p w14:paraId="23A142F6" w14:textId="13D079C0" w:rsidR="00153682" w:rsidRPr="005F5784" w:rsidRDefault="006E5E46" w:rsidP="00153682">
      <w:pPr>
        <w:rPr>
          <w:rFonts w:ascii="Arial" w:hAnsi="Arial" w:cs="Arial"/>
          <w:color w:val="000000" w:themeColor="text1"/>
        </w:rPr>
      </w:pPr>
      <w:r w:rsidRPr="005F5784">
        <w:rPr>
          <w:rStyle w:val="Ttulo2Car"/>
          <w:rFonts w:ascii="Arial" w:hAnsi="Arial" w:cs="Arial"/>
          <w:color w:val="000000" w:themeColor="text1"/>
          <w:sz w:val="24"/>
          <w:szCs w:val="24"/>
        </w:rPr>
        <w:t>Tambien se encuentran los d</w:t>
      </w:r>
      <w:r w:rsidR="00E93FE1" w:rsidRPr="005F5784">
        <w:rPr>
          <w:rStyle w:val="Ttulo2Car"/>
          <w:rFonts w:ascii="Arial" w:hAnsi="Arial" w:cs="Arial"/>
          <w:color w:val="000000" w:themeColor="text1"/>
          <w:sz w:val="24"/>
          <w:szCs w:val="24"/>
        </w:rPr>
        <w:t>iseños</w:t>
      </w:r>
      <w:r w:rsidR="00153682" w:rsidRPr="005F5784">
        <w:rPr>
          <w:rStyle w:val="Ttulo2Car"/>
          <w:rFonts w:ascii="Arial" w:hAnsi="Arial" w:cs="Arial"/>
          <w:color w:val="000000" w:themeColor="text1"/>
          <w:sz w:val="24"/>
          <w:szCs w:val="24"/>
        </w:rPr>
        <w:t xml:space="preserve"> de series temporales</w:t>
      </w:r>
      <w:r w:rsidRPr="005F5784">
        <w:rPr>
          <w:rFonts w:ascii="Arial" w:hAnsi="Arial" w:cs="Arial"/>
          <w:color w:val="000000" w:themeColor="text1"/>
        </w:rPr>
        <w:t xml:space="preserve">, los cuales se </w:t>
      </w:r>
      <w:r w:rsidR="00153682" w:rsidRPr="005F5784">
        <w:rPr>
          <w:rFonts w:ascii="Arial" w:hAnsi="Arial" w:cs="Arial"/>
          <w:color w:val="000000" w:themeColor="text1"/>
        </w:rPr>
        <w:t xml:space="preserve">utilizan para analizar cambios en valores de variables de unidades de </w:t>
      </w:r>
      <w:r w:rsidR="00E93FE1" w:rsidRPr="005F5784">
        <w:rPr>
          <w:rFonts w:ascii="Arial" w:hAnsi="Arial" w:cs="Arial"/>
          <w:color w:val="000000" w:themeColor="text1"/>
        </w:rPr>
        <w:t>análisis</w:t>
      </w:r>
      <w:r w:rsidR="00153682" w:rsidRPr="005F5784">
        <w:rPr>
          <w:rFonts w:ascii="Arial" w:hAnsi="Arial" w:cs="Arial"/>
          <w:color w:val="000000" w:themeColor="text1"/>
        </w:rPr>
        <w:t xml:space="preserve"> en diferentes </w:t>
      </w:r>
      <w:r w:rsidR="00E93FE1" w:rsidRPr="005F5784">
        <w:rPr>
          <w:rFonts w:ascii="Arial" w:hAnsi="Arial" w:cs="Arial"/>
          <w:color w:val="000000" w:themeColor="text1"/>
        </w:rPr>
        <w:t>periodos</w:t>
      </w:r>
      <w:r w:rsidRPr="005F5784">
        <w:rPr>
          <w:rFonts w:ascii="Arial" w:hAnsi="Arial" w:cs="Arial"/>
          <w:color w:val="000000" w:themeColor="text1"/>
        </w:rPr>
        <w:t xml:space="preserve"> de tiempos, y por utlimo los </w:t>
      </w:r>
      <w:r w:rsidR="00153682" w:rsidRPr="005F5784">
        <w:rPr>
          <w:rStyle w:val="Ttulo2Car"/>
          <w:rFonts w:ascii="Arial" w:hAnsi="Arial" w:cs="Arial"/>
          <w:color w:val="000000" w:themeColor="text1"/>
          <w:sz w:val="24"/>
          <w:szCs w:val="24"/>
        </w:rPr>
        <w:t>Modelos no lineales</w:t>
      </w:r>
      <w:r w:rsidRPr="005F5784">
        <w:rPr>
          <w:rStyle w:val="Ttulo2Car"/>
          <w:rFonts w:ascii="Arial" w:hAnsi="Arial" w:cs="Arial"/>
          <w:color w:val="000000" w:themeColor="text1"/>
          <w:sz w:val="24"/>
          <w:szCs w:val="24"/>
        </w:rPr>
        <w:t xml:space="preserve"> el cual consta de supocisiones</w:t>
      </w:r>
      <w:r w:rsidR="00153682" w:rsidRPr="005F5784">
        <w:rPr>
          <w:rFonts w:ascii="Arial" w:hAnsi="Arial" w:cs="Arial"/>
          <w:color w:val="000000" w:themeColor="text1"/>
        </w:rPr>
        <w:t xml:space="preserve"> que por cada unidad de cobertura </w:t>
      </w:r>
      <w:r w:rsidR="00E93FE1" w:rsidRPr="005F5784">
        <w:rPr>
          <w:rFonts w:ascii="Arial" w:hAnsi="Arial" w:cs="Arial"/>
          <w:color w:val="000000" w:themeColor="text1"/>
        </w:rPr>
        <w:t>mediática</w:t>
      </w:r>
      <w:r w:rsidR="00153682" w:rsidRPr="005F5784">
        <w:rPr>
          <w:rFonts w:ascii="Arial" w:hAnsi="Arial" w:cs="Arial"/>
          <w:color w:val="000000" w:themeColor="text1"/>
        </w:rPr>
        <w:t xml:space="preserve"> de un tema la </w:t>
      </w:r>
      <w:r w:rsidR="00E93FE1" w:rsidRPr="005F5784">
        <w:rPr>
          <w:rFonts w:ascii="Arial" w:hAnsi="Arial" w:cs="Arial"/>
          <w:color w:val="000000" w:themeColor="text1"/>
        </w:rPr>
        <w:t>proporción</w:t>
      </w:r>
      <w:r w:rsidR="00153682" w:rsidRPr="005F5784">
        <w:rPr>
          <w:rFonts w:ascii="Arial" w:hAnsi="Arial" w:cs="Arial"/>
          <w:color w:val="000000" w:themeColor="text1"/>
        </w:rPr>
        <w:t xml:space="preserve"> de la audiencia interesada en ese tema </w:t>
      </w:r>
      <w:r w:rsidR="00E93FE1" w:rsidRPr="005F5784">
        <w:rPr>
          <w:rFonts w:ascii="Arial" w:hAnsi="Arial" w:cs="Arial"/>
          <w:color w:val="000000" w:themeColor="text1"/>
        </w:rPr>
        <w:t>aumentaría</w:t>
      </w:r>
      <w:r w:rsidR="00153682" w:rsidRPr="005F5784">
        <w:rPr>
          <w:rFonts w:ascii="Arial" w:hAnsi="Arial" w:cs="Arial"/>
          <w:color w:val="000000" w:themeColor="text1"/>
        </w:rPr>
        <w:t xml:space="preserve"> de manera constante. </w:t>
      </w:r>
    </w:p>
    <w:p w14:paraId="7C92A3B7" w14:textId="77777777" w:rsidR="001F39E5" w:rsidRPr="005F5784" w:rsidRDefault="001F39E5" w:rsidP="00153682">
      <w:pPr>
        <w:rPr>
          <w:rFonts w:ascii="Arial" w:hAnsi="Arial" w:cs="Arial"/>
          <w:color w:val="000000" w:themeColor="text1"/>
        </w:rPr>
      </w:pPr>
    </w:p>
    <w:p w14:paraId="45F8B354" w14:textId="77777777" w:rsidR="00881DBC" w:rsidRPr="005F5784" w:rsidRDefault="00881DBC" w:rsidP="00881DBC">
      <w:pPr>
        <w:rPr>
          <w:rFonts w:ascii="Arial" w:hAnsi="Arial" w:cs="Arial"/>
          <w:color w:val="000000" w:themeColor="text1"/>
        </w:rPr>
      </w:pPr>
      <w:r w:rsidRPr="005F5784">
        <w:rPr>
          <w:rFonts w:ascii="Arial" w:hAnsi="Arial" w:cs="Arial"/>
          <w:color w:val="000000" w:themeColor="text1"/>
        </w:rPr>
        <w:t xml:space="preserve">Los estudios de la </w:t>
      </w:r>
      <w:r w:rsidR="00E93FE1" w:rsidRPr="005F5784">
        <w:rPr>
          <w:rFonts w:ascii="Arial" w:hAnsi="Arial" w:cs="Arial"/>
          <w:color w:val="000000" w:themeColor="text1"/>
        </w:rPr>
        <w:t>función</w:t>
      </w:r>
      <w:r w:rsidRPr="005F5784">
        <w:rPr>
          <w:rFonts w:ascii="Arial" w:hAnsi="Arial" w:cs="Arial"/>
          <w:color w:val="000000" w:themeColor="text1"/>
        </w:rPr>
        <w:t xml:space="preserve"> de agenda setting de los medios han evolucionado y se han integrado con otros enfoques, </w:t>
      </w:r>
      <w:r w:rsidR="00E93FE1" w:rsidRPr="005F5784">
        <w:rPr>
          <w:rFonts w:ascii="Arial" w:hAnsi="Arial" w:cs="Arial"/>
          <w:color w:val="000000" w:themeColor="text1"/>
        </w:rPr>
        <w:t>teorías</w:t>
      </w:r>
      <w:r w:rsidRPr="005F5784">
        <w:rPr>
          <w:rFonts w:ascii="Arial" w:hAnsi="Arial" w:cs="Arial"/>
          <w:color w:val="000000" w:themeColor="text1"/>
        </w:rPr>
        <w:t xml:space="preserve">, y dominios de </w:t>
      </w:r>
      <w:r w:rsidR="00E93FE1" w:rsidRPr="005F5784">
        <w:rPr>
          <w:rFonts w:ascii="Arial" w:hAnsi="Arial" w:cs="Arial"/>
          <w:color w:val="000000" w:themeColor="text1"/>
        </w:rPr>
        <w:t>investigación</w:t>
      </w:r>
      <w:r w:rsidR="00C4466B" w:rsidRPr="005F5784">
        <w:rPr>
          <w:rFonts w:ascii="Arial" w:hAnsi="Arial" w:cs="Arial"/>
          <w:color w:val="000000" w:themeColor="text1"/>
        </w:rPr>
        <w:t>́.</w:t>
      </w:r>
      <w:r w:rsidRPr="005F5784">
        <w:rPr>
          <w:rFonts w:ascii="Arial" w:hAnsi="Arial" w:cs="Arial"/>
          <w:color w:val="000000" w:themeColor="text1"/>
        </w:rPr>
        <w:t xml:space="preserve"> </w:t>
      </w:r>
    </w:p>
    <w:p w14:paraId="3AD751B8" w14:textId="4B9B4322" w:rsidR="00C4466B" w:rsidRPr="005F5784" w:rsidRDefault="00881DBC" w:rsidP="00881DBC">
      <w:pPr>
        <w:rPr>
          <w:rFonts w:ascii="Arial" w:hAnsi="Arial" w:cs="Arial"/>
          <w:color w:val="000000" w:themeColor="text1"/>
        </w:rPr>
      </w:pPr>
      <w:r w:rsidRPr="005F5784">
        <w:rPr>
          <w:rFonts w:ascii="Arial" w:hAnsi="Arial" w:cs="Arial"/>
          <w:color w:val="000000" w:themeColor="text1"/>
        </w:rPr>
        <w:t xml:space="preserve">existen numerosas circunstancias que hacen pensar en la </w:t>
      </w:r>
      <w:r w:rsidR="005F5784" w:rsidRPr="005F5784">
        <w:rPr>
          <w:rFonts w:ascii="Arial" w:hAnsi="Arial" w:cs="Arial"/>
          <w:color w:val="000000" w:themeColor="text1"/>
        </w:rPr>
        <w:t xml:space="preserve">complejización de los modelos a lo que se les puede llamar como las condiciones contingentes, que son tres, </w:t>
      </w:r>
      <w:r w:rsidRPr="005F5784">
        <w:rPr>
          <w:rFonts w:ascii="Arial" w:hAnsi="Arial" w:cs="Arial"/>
          <w:color w:val="000000" w:themeColor="text1"/>
        </w:rPr>
        <w:t xml:space="preserve">las </w:t>
      </w:r>
      <w:r w:rsidR="00E93FE1" w:rsidRPr="005F5784">
        <w:rPr>
          <w:rFonts w:ascii="Arial" w:hAnsi="Arial" w:cs="Arial"/>
          <w:color w:val="000000" w:themeColor="text1"/>
        </w:rPr>
        <w:t>características</w:t>
      </w:r>
      <w:r w:rsidR="00C4466B" w:rsidRPr="005F5784">
        <w:rPr>
          <w:rFonts w:ascii="Arial" w:hAnsi="Arial" w:cs="Arial"/>
          <w:color w:val="000000" w:themeColor="text1"/>
        </w:rPr>
        <w:t xml:space="preserve"> de las audiencias</w:t>
      </w:r>
      <w:r w:rsidR="005F5784" w:rsidRPr="005F5784">
        <w:rPr>
          <w:rFonts w:ascii="Arial" w:hAnsi="Arial" w:cs="Arial"/>
          <w:color w:val="000000" w:themeColor="text1"/>
        </w:rPr>
        <w:t xml:space="preserve">, </w:t>
      </w:r>
      <w:r w:rsidRPr="005F5784">
        <w:rPr>
          <w:rFonts w:ascii="Arial" w:hAnsi="Arial" w:cs="Arial"/>
          <w:color w:val="000000" w:themeColor="text1"/>
        </w:rPr>
        <w:t>la especificidad</w:t>
      </w:r>
      <w:r w:rsidR="00C4466B" w:rsidRPr="005F5784">
        <w:rPr>
          <w:rFonts w:ascii="Arial" w:hAnsi="Arial" w:cs="Arial"/>
          <w:color w:val="000000" w:themeColor="text1"/>
        </w:rPr>
        <w:t xml:space="preserve"> de los </w:t>
      </w:r>
      <w:r w:rsidR="00E93FE1" w:rsidRPr="005F5784">
        <w:rPr>
          <w:rFonts w:ascii="Arial" w:hAnsi="Arial" w:cs="Arial"/>
          <w:color w:val="000000" w:themeColor="text1"/>
        </w:rPr>
        <w:t>periodos</w:t>
      </w:r>
      <w:r w:rsidR="00C4466B" w:rsidRPr="005F5784">
        <w:rPr>
          <w:rFonts w:ascii="Arial" w:hAnsi="Arial" w:cs="Arial"/>
          <w:color w:val="000000" w:themeColor="text1"/>
        </w:rPr>
        <w:t xml:space="preserve"> estudiados</w:t>
      </w:r>
      <w:r w:rsidR="005F5784" w:rsidRPr="005F5784">
        <w:rPr>
          <w:rFonts w:ascii="Arial" w:hAnsi="Arial" w:cs="Arial"/>
          <w:color w:val="000000" w:themeColor="text1"/>
        </w:rPr>
        <w:t xml:space="preserve"> y </w:t>
      </w:r>
      <w:r w:rsidRPr="005F5784">
        <w:rPr>
          <w:rFonts w:ascii="Arial" w:hAnsi="Arial" w:cs="Arial"/>
          <w:color w:val="000000" w:themeColor="text1"/>
        </w:rPr>
        <w:t xml:space="preserve">las </w:t>
      </w:r>
      <w:r w:rsidR="00E93FE1" w:rsidRPr="005F5784">
        <w:rPr>
          <w:rFonts w:ascii="Arial" w:hAnsi="Arial" w:cs="Arial"/>
          <w:color w:val="000000" w:themeColor="text1"/>
        </w:rPr>
        <w:t>características</w:t>
      </w:r>
      <w:r w:rsidRPr="005F5784">
        <w:rPr>
          <w:rFonts w:ascii="Arial" w:hAnsi="Arial" w:cs="Arial"/>
          <w:color w:val="000000" w:themeColor="text1"/>
        </w:rPr>
        <w:t xml:space="preserve"> propias de ca</w:t>
      </w:r>
      <w:r w:rsidR="001F39E5" w:rsidRPr="005F5784">
        <w:rPr>
          <w:rFonts w:ascii="Arial" w:hAnsi="Arial" w:cs="Arial"/>
          <w:color w:val="000000" w:themeColor="text1"/>
        </w:rPr>
        <w:t>da tema</w:t>
      </w:r>
      <w:r w:rsidRPr="005F5784">
        <w:rPr>
          <w:rFonts w:ascii="Arial" w:hAnsi="Arial" w:cs="Arial"/>
          <w:color w:val="000000" w:themeColor="text1"/>
        </w:rPr>
        <w:t xml:space="preserve">. </w:t>
      </w:r>
    </w:p>
    <w:p w14:paraId="7166CF44" w14:textId="57BE663E" w:rsidR="001F39E5" w:rsidRPr="005F5784" w:rsidRDefault="005F5784" w:rsidP="00881DBC">
      <w:pPr>
        <w:rPr>
          <w:rFonts w:ascii="Arial" w:hAnsi="Arial" w:cs="Arial"/>
          <w:color w:val="000000" w:themeColor="text1"/>
        </w:rPr>
      </w:pPr>
      <w:r w:rsidRPr="005F5784">
        <w:rPr>
          <w:rFonts w:ascii="Arial" w:hAnsi="Arial" w:cs="Arial"/>
          <w:color w:val="000000" w:themeColor="text1"/>
        </w:rPr>
        <w:t>Tambien existe el llamado e</w:t>
      </w:r>
      <w:r w:rsidR="00881DBC" w:rsidRPr="005F5784">
        <w:rPr>
          <w:rFonts w:ascii="Arial" w:hAnsi="Arial" w:cs="Arial"/>
          <w:color w:val="000000" w:themeColor="text1"/>
        </w:rPr>
        <w:t>spir</w:t>
      </w:r>
      <w:r w:rsidRPr="005F5784">
        <w:rPr>
          <w:rFonts w:ascii="Arial" w:hAnsi="Arial" w:cs="Arial"/>
          <w:color w:val="000000" w:themeColor="text1"/>
        </w:rPr>
        <w:t>al del silencio, el cual s</w:t>
      </w:r>
      <w:r w:rsidR="00E93FE1" w:rsidRPr="005F5784">
        <w:rPr>
          <w:rFonts w:ascii="Arial" w:hAnsi="Arial" w:cs="Arial"/>
          <w:color w:val="000000" w:themeColor="text1"/>
        </w:rPr>
        <w:t>egún</w:t>
      </w:r>
      <w:r w:rsidR="00881DBC" w:rsidRPr="005F5784">
        <w:rPr>
          <w:rFonts w:ascii="Arial" w:hAnsi="Arial" w:cs="Arial"/>
          <w:color w:val="000000" w:themeColor="text1"/>
        </w:rPr>
        <w:t xml:space="preserve"> Noelle-Neumann los medios masivos incrementan la espiral al ser la principal fuente de </w:t>
      </w:r>
      <w:r w:rsidR="00E93FE1" w:rsidRPr="005F5784">
        <w:rPr>
          <w:rFonts w:ascii="Arial" w:hAnsi="Arial" w:cs="Arial"/>
          <w:color w:val="000000" w:themeColor="text1"/>
        </w:rPr>
        <w:t>información</w:t>
      </w:r>
      <w:r w:rsidR="00881DBC" w:rsidRPr="005F5784">
        <w:rPr>
          <w:rFonts w:ascii="Arial" w:hAnsi="Arial" w:cs="Arial"/>
          <w:color w:val="000000" w:themeColor="text1"/>
        </w:rPr>
        <w:t xml:space="preserve"> que poseen los individuos acerca de </w:t>
      </w:r>
      <w:r w:rsidR="00E93FE1" w:rsidRPr="005F5784">
        <w:rPr>
          <w:rFonts w:ascii="Arial" w:hAnsi="Arial" w:cs="Arial"/>
          <w:color w:val="000000" w:themeColor="text1"/>
        </w:rPr>
        <w:t>cual</w:t>
      </w:r>
      <w:r w:rsidR="00881DBC" w:rsidRPr="005F5784">
        <w:rPr>
          <w:rFonts w:ascii="Arial" w:hAnsi="Arial" w:cs="Arial"/>
          <w:color w:val="000000" w:themeColor="text1"/>
        </w:rPr>
        <w:t xml:space="preserve"> es la </w:t>
      </w:r>
      <w:r w:rsidR="00E93FE1" w:rsidRPr="005F5784">
        <w:rPr>
          <w:rFonts w:ascii="Arial" w:hAnsi="Arial" w:cs="Arial"/>
          <w:color w:val="000000" w:themeColor="text1"/>
        </w:rPr>
        <w:t>opinión</w:t>
      </w:r>
      <w:r w:rsidR="00881DBC" w:rsidRPr="005F5784">
        <w:rPr>
          <w:rFonts w:ascii="Arial" w:hAnsi="Arial" w:cs="Arial"/>
          <w:color w:val="000000" w:themeColor="text1"/>
        </w:rPr>
        <w:t xml:space="preserve"> mayoritaria en un momento, lugar, y sobre un asunto determinado</w:t>
      </w:r>
      <w:r w:rsidR="00C4466B" w:rsidRPr="005F5784">
        <w:rPr>
          <w:rFonts w:ascii="Arial" w:hAnsi="Arial" w:cs="Arial"/>
          <w:color w:val="000000" w:themeColor="text1"/>
        </w:rPr>
        <w:t>.</w:t>
      </w:r>
      <w:r w:rsidR="00881DBC" w:rsidRPr="005F5784">
        <w:rPr>
          <w:rFonts w:ascii="Arial" w:hAnsi="Arial" w:cs="Arial"/>
          <w:color w:val="000000" w:themeColor="text1"/>
        </w:rPr>
        <w:t xml:space="preserve"> </w:t>
      </w:r>
    </w:p>
    <w:p w14:paraId="6132E92B" w14:textId="0F0FD722" w:rsidR="001F39E5" w:rsidRPr="005F5784" w:rsidRDefault="002B4097" w:rsidP="00881DBC">
      <w:pPr>
        <w:rPr>
          <w:rFonts w:ascii="Arial" w:hAnsi="Arial" w:cs="Arial"/>
          <w:color w:val="000000" w:themeColor="text1"/>
        </w:rPr>
      </w:pPr>
      <w:r w:rsidRPr="002B4097">
        <w:rPr>
          <w:rFonts w:ascii="Arial" w:hAnsi="Arial" w:cs="Arial"/>
          <w:color w:val="000000" w:themeColor="text1"/>
        </w:rPr>
        <w:t>¨</w:t>
      </w:r>
      <w:r w:rsidR="00881DBC" w:rsidRPr="002B4097">
        <w:rPr>
          <w:rFonts w:ascii="Arial" w:hAnsi="Arial" w:cs="Arial"/>
          <w:color w:val="000000" w:themeColor="text1"/>
        </w:rPr>
        <w:t xml:space="preserve">Los medios intervienen en la espiral del silencio conformando la </w:t>
      </w:r>
      <w:r w:rsidR="00E93FE1" w:rsidRPr="002B4097">
        <w:rPr>
          <w:rFonts w:ascii="Arial" w:hAnsi="Arial" w:cs="Arial"/>
          <w:color w:val="000000" w:themeColor="text1"/>
        </w:rPr>
        <w:t>percepción</w:t>
      </w:r>
      <w:r w:rsidR="005F5784" w:rsidRPr="002B4097">
        <w:rPr>
          <w:rFonts w:ascii="Arial" w:hAnsi="Arial" w:cs="Arial"/>
          <w:color w:val="000000" w:themeColor="text1"/>
        </w:rPr>
        <w:t xml:space="preserve"> acerca de las opiniones, </w:t>
      </w:r>
      <w:r w:rsidRPr="002B4097">
        <w:rPr>
          <w:rFonts w:ascii="Arial" w:hAnsi="Arial" w:cs="Arial"/>
          <w:color w:val="000000" w:themeColor="text1"/>
        </w:rPr>
        <w:t xml:space="preserve">se </w:t>
      </w:r>
      <w:r w:rsidR="005F5784" w:rsidRPr="002B4097">
        <w:rPr>
          <w:rFonts w:ascii="Arial" w:hAnsi="Arial" w:cs="Arial"/>
          <w:color w:val="000000" w:themeColor="text1"/>
        </w:rPr>
        <w:t xml:space="preserve">establecen, </w:t>
      </w:r>
      <w:r w:rsidR="00881DBC" w:rsidRPr="002B4097">
        <w:rPr>
          <w:rFonts w:ascii="Arial" w:hAnsi="Arial" w:cs="Arial"/>
          <w:color w:val="000000" w:themeColor="text1"/>
        </w:rPr>
        <w:t xml:space="preserve">la </w:t>
      </w:r>
      <w:r w:rsidR="00E93FE1" w:rsidRPr="002B4097">
        <w:rPr>
          <w:rFonts w:ascii="Arial" w:hAnsi="Arial" w:cs="Arial"/>
          <w:color w:val="000000" w:themeColor="text1"/>
        </w:rPr>
        <w:t>opinión</w:t>
      </w:r>
      <w:r w:rsidRPr="002B4097">
        <w:rPr>
          <w:rFonts w:ascii="Arial" w:hAnsi="Arial" w:cs="Arial"/>
          <w:color w:val="000000" w:themeColor="text1"/>
        </w:rPr>
        <w:t xml:space="preserve"> dominante;</w:t>
      </w:r>
      <w:r w:rsidR="00881DBC" w:rsidRPr="002B4097">
        <w:rPr>
          <w:rFonts w:ascii="Arial" w:hAnsi="Arial" w:cs="Arial"/>
          <w:color w:val="000000" w:themeColor="text1"/>
        </w:rPr>
        <w:t xml:space="preserve"> la </w:t>
      </w:r>
      <w:r w:rsidR="00E93FE1" w:rsidRPr="002B4097">
        <w:rPr>
          <w:rFonts w:ascii="Arial" w:hAnsi="Arial" w:cs="Arial"/>
          <w:color w:val="000000" w:themeColor="text1"/>
        </w:rPr>
        <w:t>opinión</w:t>
      </w:r>
      <w:r w:rsidR="00881DBC" w:rsidRPr="002B4097">
        <w:rPr>
          <w:rFonts w:ascii="Arial" w:hAnsi="Arial" w:cs="Arial"/>
          <w:color w:val="000000" w:themeColor="text1"/>
        </w:rPr>
        <w:t xml:space="preserve"> que es</w:t>
      </w:r>
      <w:r w:rsidR="001F39E5" w:rsidRPr="002B4097">
        <w:rPr>
          <w:rFonts w:ascii="Arial" w:hAnsi="Arial" w:cs="Arial"/>
          <w:color w:val="000000" w:themeColor="text1"/>
        </w:rPr>
        <w:t xml:space="preserve">tá incrementando su consenso; </w:t>
      </w:r>
      <w:r w:rsidR="005F5784" w:rsidRPr="002B4097">
        <w:rPr>
          <w:rFonts w:ascii="Arial" w:hAnsi="Arial" w:cs="Arial"/>
          <w:color w:val="000000" w:themeColor="text1"/>
        </w:rPr>
        <w:t>y</w:t>
      </w:r>
      <w:r w:rsidR="00881DBC" w:rsidRPr="002B4097">
        <w:rPr>
          <w:rFonts w:ascii="Arial" w:hAnsi="Arial" w:cs="Arial"/>
          <w:color w:val="000000" w:themeColor="text1"/>
        </w:rPr>
        <w:t xml:space="preserve"> la </w:t>
      </w:r>
      <w:r w:rsidR="00E93FE1" w:rsidRPr="002B4097">
        <w:rPr>
          <w:rFonts w:ascii="Arial" w:hAnsi="Arial" w:cs="Arial"/>
          <w:color w:val="000000" w:themeColor="text1"/>
        </w:rPr>
        <w:t>opinión</w:t>
      </w:r>
      <w:r w:rsidR="00881DBC" w:rsidRPr="002B4097">
        <w:rPr>
          <w:rFonts w:ascii="Arial" w:hAnsi="Arial" w:cs="Arial"/>
          <w:color w:val="000000" w:themeColor="text1"/>
        </w:rPr>
        <w:t xml:space="preserve"> que el individuo puede manifestar en </w:t>
      </w:r>
      <w:r w:rsidR="00E93FE1" w:rsidRPr="002B4097">
        <w:rPr>
          <w:rFonts w:ascii="Arial" w:hAnsi="Arial" w:cs="Arial"/>
          <w:color w:val="000000" w:themeColor="text1"/>
        </w:rPr>
        <w:t>publico</w:t>
      </w:r>
      <w:r w:rsidR="00881DBC" w:rsidRPr="002B4097">
        <w:rPr>
          <w:rFonts w:ascii="Arial" w:hAnsi="Arial" w:cs="Arial"/>
          <w:color w:val="000000" w:themeColor="text1"/>
        </w:rPr>
        <w:t xml:space="preserve"> sin sufrir aislamiento </w:t>
      </w:r>
      <w:r w:rsidRPr="002B4097">
        <w:rPr>
          <w:rFonts w:ascii="Arial" w:hAnsi="Arial" w:cs="Arial"/>
          <w:color w:val="000000" w:themeColor="text1"/>
        </w:rPr>
        <w:t>¨</w:t>
      </w:r>
      <w:r>
        <w:rPr>
          <w:rFonts w:ascii="Arial" w:hAnsi="Arial" w:cs="Arial"/>
          <w:color w:val="000000" w:themeColor="text1"/>
        </w:rPr>
        <w:t xml:space="preserve"> </w:t>
      </w:r>
      <w:r w:rsidR="00881DBC" w:rsidRPr="002B4097">
        <w:rPr>
          <w:rFonts w:ascii="Arial" w:hAnsi="Arial" w:cs="Arial"/>
          <w:color w:val="000000" w:themeColor="text1"/>
        </w:rPr>
        <w:t>(</w:t>
      </w:r>
      <w:r w:rsidR="00881DBC" w:rsidRPr="005F5784">
        <w:rPr>
          <w:rFonts w:ascii="Arial" w:hAnsi="Arial" w:cs="Arial"/>
          <w:color w:val="000000" w:themeColor="text1"/>
        </w:rPr>
        <w:t xml:space="preserve">Noelle-Neumann, 1973, pp.108; en Aidoo, 2005, pp. 52). </w:t>
      </w:r>
    </w:p>
    <w:p w14:paraId="0E03FC3D" w14:textId="77777777" w:rsidR="0099389C" w:rsidRPr="005F5784" w:rsidRDefault="0099389C" w:rsidP="00881DBC">
      <w:pPr>
        <w:rPr>
          <w:rFonts w:ascii="Arial" w:hAnsi="Arial" w:cs="Arial"/>
          <w:color w:val="000000" w:themeColor="text1"/>
        </w:rPr>
      </w:pPr>
    </w:p>
    <w:sdt>
      <w:sdtPr>
        <w:rPr>
          <w:rFonts w:ascii="Arial" w:eastAsiaTheme="minorHAnsi" w:hAnsi="Arial" w:cs="Arial"/>
          <w:color w:val="000000" w:themeColor="text1"/>
          <w:sz w:val="24"/>
          <w:szCs w:val="24"/>
          <w:lang w:val="es-ES"/>
        </w:rPr>
        <w:id w:val="1979250846"/>
        <w:docPartObj>
          <w:docPartGallery w:val="Bibliographies"/>
          <w:docPartUnique/>
        </w:docPartObj>
      </w:sdtPr>
      <w:sdtEndPr>
        <w:rPr>
          <w:b/>
          <w:bCs/>
          <w:lang w:val="es-ES_tradnl"/>
        </w:rPr>
      </w:sdtEndPr>
      <w:sdtContent>
        <w:p w14:paraId="49F0686E" w14:textId="77777777" w:rsidR="00C4466B" w:rsidRPr="005F5784" w:rsidRDefault="00C4466B">
          <w:pPr>
            <w:pStyle w:val="Ttulo1"/>
            <w:rPr>
              <w:rFonts w:ascii="Arial" w:hAnsi="Arial" w:cs="Arial"/>
              <w:color w:val="000000" w:themeColor="text1"/>
              <w:sz w:val="24"/>
              <w:szCs w:val="24"/>
            </w:rPr>
          </w:pPr>
          <w:r w:rsidRPr="005F5784">
            <w:rPr>
              <w:rFonts w:ascii="Arial" w:hAnsi="Arial" w:cs="Arial"/>
              <w:color w:val="000000" w:themeColor="text1"/>
              <w:sz w:val="24"/>
              <w:szCs w:val="24"/>
              <w:lang w:val="es-ES"/>
            </w:rPr>
            <w:t>Trabajos citados</w:t>
          </w:r>
        </w:p>
        <w:p w14:paraId="26E32D9D" w14:textId="77777777" w:rsidR="00C4466B" w:rsidRPr="005F5784" w:rsidRDefault="00C4466B" w:rsidP="00C4466B">
          <w:pPr>
            <w:pStyle w:val="Bibliografa"/>
            <w:rPr>
              <w:rFonts w:ascii="Arial" w:hAnsi="Arial" w:cs="Arial"/>
              <w:noProof/>
              <w:color w:val="000000" w:themeColor="text1"/>
              <w:lang w:val="es-ES"/>
            </w:rPr>
          </w:pPr>
          <w:r w:rsidRPr="005F5784">
            <w:rPr>
              <w:rFonts w:ascii="Arial" w:hAnsi="Arial" w:cs="Arial"/>
              <w:color w:val="000000" w:themeColor="text1"/>
            </w:rPr>
            <w:fldChar w:fldCharType="begin"/>
          </w:r>
          <w:r w:rsidRPr="005F5784">
            <w:rPr>
              <w:rFonts w:ascii="Arial" w:hAnsi="Arial" w:cs="Arial"/>
              <w:color w:val="000000" w:themeColor="text1"/>
            </w:rPr>
            <w:instrText>BIBLIOGRAPHY</w:instrText>
          </w:r>
          <w:r w:rsidRPr="005F5784">
            <w:rPr>
              <w:rFonts w:ascii="Arial" w:hAnsi="Arial" w:cs="Arial"/>
              <w:color w:val="000000" w:themeColor="text1"/>
            </w:rPr>
            <w:fldChar w:fldCharType="separate"/>
          </w:r>
          <w:r w:rsidRPr="005F5784">
            <w:rPr>
              <w:rFonts w:ascii="Arial" w:hAnsi="Arial" w:cs="Arial"/>
              <w:noProof/>
              <w:color w:val="000000" w:themeColor="text1"/>
              <w:lang w:val="es-ES"/>
            </w:rPr>
            <w:t xml:space="preserve">Díaz, R. R. (2004). </w:t>
          </w:r>
          <w:r w:rsidRPr="005F5784">
            <w:rPr>
              <w:rFonts w:ascii="Arial" w:hAnsi="Arial" w:cs="Arial"/>
              <w:i/>
              <w:iCs/>
              <w:noProof/>
              <w:color w:val="000000" w:themeColor="text1"/>
              <w:lang w:val="es-ES"/>
            </w:rPr>
            <w:t>Teoría de la Agenda-Setting aplicación a la enseñanza universitaria.</w:t>
          </w:r>
          <w:r w:rsidRPr="005F5784">
            <w:rPr>
              <w:rFonts w:ascii="Arial" w:hAnsi="Arial" w:cs="Arial"/>
              <w:noProof/>
              <w:color w:val="000000" w:themeColor="text1"/>
              <w:lang w:val="es-ES"/>
            </w:rPr>
            <w:t xml:space="preserve"> (A. F. Alaminos., Ed.) España: Observatorio Europeo de Tendencias Sociales.</w:t>
          </w:r>
        </w:p>
        <w:p w14:paraId="745997DB" w14:textId="77777777" w:rsidR="00C4466B" w:rsidRPr="005F5784" w:rsidRDefault="00C4466B" w:rsidP="00C4466B">
          <w:pPr>
            <w:pStyle w:val="Bibliografa"/>
            <w:rPr>
              <w:rFonts w:ascii="Arial" w:hAnsi="Arial" w:cs="Arial"/>
              <w:noProof/>
              <w:color w:val="000000" w:themeColor="text1"/>
              <w:lang w:val="es-ES"/>
            </w:rPr>
          </w:pPr>
          <w:r w:rsidRPr="005F5784">
            <w:rPr>
              <w:rFonts w:ascii="Arial" w:hAnsi="Arial" w:cs="Arial"/>
              <w:noProof/>
              <w:color w:val="000000" w:themeColor="text1"/>
              <w:lang w:val="es-ES"/>
            </w:rPr>
            <w:t xml:space="preserve">Petrone, F. A. </w:t>
          </w:r>
          <w:r w:rsidRPr="005F5784">
            <w:rPr>
              <w:rFonts w:ascii="Arial" w:hAnsi="Arial" w:cs="Arial"/>
              <w:i/>
              <w:iCs/>
              <w:noProof/>
              <w:color w:val="000000" w:themeColor="text1"/>
              <w:lang w:val="es-ES"/>
            </w:rPr>
            <w:t>Estudios de Agenda Setting. Conceptos, metodologías y abordajes posibles.</w:t>
          </w:r>
          <w:r w:rsidRPr="005F5784">
            <w:rPr>
              <w:rFonts w:ascii="Arial" w:hAnsi="Arial" w:cs="Arial"/>
              <w:noProof/>
              <w:color w:val="000000" w:themeColor="text1"/>
              <w:lang w:val="es-ES"/>
            </w:rPr>
            <w:t xml:space="preserve"> 18.</w:t>
          </w:r>
        </w:p>
        <w:p w14:paraId="2C2392C3" w14:textId="77777777" w:rsidR="00C4466B" w:rsidRPr="005F5784" w:rsidRDefault="00C4466B" w:rsidP="00C4466B">
          <w:pPr>
            <w:rPr>
              <w:rFonts w:ascii="Arial" w:hAnsi="Arial" w:cs="Arial"/>
              <w:color w:val="000000" w:themeColor="text1"/>
            </w:rPr>
          </w:pPr>
          <w:r w:rsidRPr="005F5784">
            <w:rPr>
              <w:rFonts w:ascii="Arial" w:hAnsi="Arial" w:cs="Arial"/>
              <w:color w:val="000000" w:themeColor="text1"/>
            </w:rPr>
            <w:t xml:space="preserve">(Zhu y Blood, 2002, p.100). </w:t>
          </w:r>
        </w:p>
        <w:p w14:paraId="6BC21363" w14:textId="77777777" w:rsidR="00C4466B" w:rsidRPr="005F5784" w:rsidRDefault="00C4466B" w:rsidP="00C4466B">
          <w:pPr>
            <w:rPr>
              <w:rFonts w:ascii="Arial" w:hAnsi="Arial" w:cs="Arial"/>
              <w:color w:val="000000" w:themeColor="text1"/>
            </w:rPr>
          </w:pPr>
        </w:p>
        <w:p w14:paraId="0F6EA0EC" w14:textId="77777777" w:rsidR="00C4466B" w:rsidRDefault="00C4466B" w:rsidP="00C4466B">
          <w:r w:rsidRPr="005F5784">
            <w:rPr>
              <w:rFonts w:ascii="Arial" w:hAnsi="Arial" w:cs="Arial"/>
              <w:b/>
              <w:bCs/>
              <w:color w:val="000000" w:themeColor="text1"/>
            </w:rPr>
            <w:fldChar w:fldCharType="end"/>
          </w:r>
        </w:p>
      </w:sdtContent>
    </w:sdt>
    <w:p w14:paraId="22203D33" w14:textId="77777777" w:rsidR="00881DBC" w:rsidRDefault="00881DBC" w:rsidP="00881DBC">
      <w:pPr>
        <w:rPr>
          <w:rFonts w:ascii="Arial" w:hAnsi="Arial" w:cs="Arial"/>
        </w:rPr>
      </w:pPr>
    </w:p>
    <w:p w14:paraId="49D8A199" w14:textId="77777777" w:rsidR="001F39E5" w:rsidRDefault="00E93FE1" w:rsidP="00C4466B">
      <w:pPr>
        <w:pStyle w:val="Puesto"/>
        <w:jc w:val="center"/>
      </w:pPr>
      <w:r>
        <w:t>Paráfrasis</w:t>
      </w:r>
    </w:p>
    <w:p w14:paraId="16BC3CC8" w14:textId="77777777" w:rsidR="00C4466B" w:rsidRDefault="00C4466B" w:rsidP="0099389C">
      <w:pPr>
        <w:rPr>
          <w:rFonts w:ascii="Arial" w:hAnsi="Arial" w:cs="Arial"/>
        </w:rPr>
      </w:pPr>
    </w:p>
    <w:p w14:paraId="4E748219" w14:textId="77777777" w:rsidR="0099389C" w:rsidRPr="0099389C" w:rsidRDefault="0099389C" w:rsidP="0099389C">
      <w:pPr>
        <w:rPr>
          <w:rFonts w:ascii="Arial" w:hAnsi="Arial" w:cs="Arial"/>
        </w:rPr>
      </w:pPr>
      <w:r w:rsidRPr="0099389C">
        <w:rPr>
          <w:rFonts w:ascii="Arial" w:hAnsi="Arial" w:cs="Arial"/>
        </w:rPr>
        <w:t xml:space="preserve">La palabra teoría proviene del griego θεωρία y se refiere a un pensamiento especulativo. Proviene de theoros (espectador), del griego theōreō formada con la partícula thea (vista) como sufijo, indicando "he aqui" y horō (ver). </w:t>
      </w:r>
    </w:p>
    <w:p w14:paraId="66AFD0D2" w14:textId="77777777" w:rsidR="0099389C" w:rsidRDefault="0099389C" w:rsidP="00881DBC">
      <w:pPr>
        <w:rPr>
          <w:rFonts w:ascii="Arial" w:hAnsi="Arial" w:cs="Arial"/>
        </w:rPr>
      </w:pPr>
    </w:p>
    <w:p w14:paraId="01EAFD08" w14:textId="77777777" w:rsidR="001F39E5" w:rsidRDefault="001F39E5" w:rsidP="00881DBC">
      <w:pPr>
        <w:rPr>
          <w:rFonts w:ascii="Arial" w:hAnsi="Arial" w:cs="Arial"/>
        </w:rPr>
      </w:pPr>
      <w:r>
        <w:rPr>
          <w:rFonts w:ascii="Arial" w:hAnsi="Arial" w:cs="Arial"/>
        </w:rPr>
        <w:t>La</w:t>
      </w:r>
      <w:r w:rsidRPr="001F39E5">
        <w:rPr>
          <w:rFonts w:ascii="Arial" w:hAnsi="Arial" w:cs="Arial"/>
        </w:rPr>
        <w:t xml:space="preserve"> agenda, </w:t>
      </w:r>
      <w:r>
        <w:rPr>
          <w:rFonts w:ascii="Arial" w:hAnsi="Arial" w:cs="Arial"/>
        </w:rPr>
        <w:t xml:space="preserve"> </w:t>
      </w:r>
      <w:r w:rsidR="00E93FE1">
        <w:rPr>
          <w:rFonts w:ascii="Arial" w:hAnsi="Arial" w:cs="Arial"/>
        </w:rPr>
        <w:t>pertenece</w:t>
      </w:r>
      <w:r>
        <w:rPr>
          <w:rFonts w:ascii="Arial" w:hAnsi="Arial" w:cs="Arial"/>
        </w:rPr>
        <w:t xml:space="preserve"> al </w:t>
      </w:r>
      <w:r w:rsidR="00E93FE1">
        <w:rPr>
          <w:rFonts w:ascii="Arial" w:hAnsi="Arial" w:cs="Arial"/>
        </w:rPr>
        <w:t>latín</w:t>
      </w:r>
      <w:r>
        <w:rPr>
          <w:rFonts w:ascii="Arial" w:hAnsi="Arial" w:cs="Arial"/>
        </w:rPr>
        <w:t xml:space="preserve"> en </w:t>
      </w:r>
      <w:r w:rsidRPr="001F39E5">
        <w:rPr>
          <w:rFonts w:ascii="Arial" w:hAnsi="Arial" w:cs="Arial"/>
        </w:rPr>
        <w:t>plural de agendum, "lo que se hará," participio futuro pasivo del verbo ago, "hacer"</w:t>
      </w:r>
      <w:r>
        <w:rPr>
          <w:rFonts w:ascii="Arial" w:hAnsi="Arial" w:cs="Arial"/>
        </w:rPr>
        <w:t>.</w:t>
      </w:r>
    </w:p>
    <w:p w14:paraId="2EF9CF3C" w14:textId="77777777" w:rsidR="001F39E5" w:rsidRDefault="001F39E5" w:rsidP="00881DBC">
      <w:pPr>
        <w:rPr>
          <w:rFonts w:ascii="Arial" w:hAnsi="Arial" w:cs="Arial"/>
        </w:rPr>
      </w:pPr>
      <w:r w:rsidRPr="001F39E5">
        <w:rPr>
          <w:rFonts w:ascii="Arial" w:hAnsi="Arial" w:cs="Arial"/>
        </w:rPr>
        <w:t xml:space="preserve">La palabra agenda es originalmente una palabra plural, un </w:t>
      </w:r>
      <w:r w:rsidR="00E93FE1" w:rsidRPr="001F39E5">
        <w:rPr>
          <w:rFonts w:ascii="Arial" w:hAnsi="Arial" w:cs="Arial"/>
        </w:rPr>
        <w:t>termino</w:t>
      </w:r>
      <w:r w:rsidRPr="001F39E5">
        <w:rPr>
          <w:rFonts w:ascii="Arial" w:hAnsi="Arial" w:cs="Arial"/>
        </w:rPr>
        <w:t xml:space="preserve"> latino para denotar las “acciones a ser acometidas”. Lo que hoy se conoce por una agenda es una lista de renglones individuales, cada uno de estos referidos originalmente como agendum. </w:t>
      </w:r>
    </w:p>
    <w:p w14:paraId="408FF489" w14:textId="77777777" w:rsidR="0099389C" w:rsidRDefault="0099389C" w:rsidP="001F39E5">
      <w:pPr>
        <w:rPr>
          <w:rFonts w:ascii="Arial" w:hAnsi="Arial" w:cs="Arial"/>
        </w:rPr>
      </w:pPr>
    </w:p>
    <w:p w14:paraId="6DA4FE0A" w14:textId="77777777" w:rsidR="001F39E5" w:rsidRDefault="001F39E5" w:rsidP="001F39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Settings (ajustes), </w:t>
      </w:r>
      <w:r w:rsidRPr="001F39E5">
        <w:rPr>
          <w:rFonts w:ascii="Arial" w:hAnsi="Arial" w:cs="Arial"/>
        </w:rPr>
        <w:t>tiene un origen latino: proviene de “ad” = a, y “justum” = justo, viniendo a significar colocar justo o acomodar una cosa a otra, para</w:t>
      </w:r>
      <w:r w:rsidR="00C4466B">
        <w:rPr>
          <w:rFonts w:ascii="Arial" w:hAnsi="Arial" w:cs="Arial"/>
        </w:rPr>
        <w:t xml:space="preserve"> adaptarla a su funcionamiento. </w:t>
      </w:r>
      <w:r w:rsidRPr="001F39E5">
        <w:rPr>
          <w:rFonts w:ascii="Arial" w:hAnsi="Arial" w:cs="Arial"/>
        </w:rPr>
        <w:t>También pueden ajustarse por ejemplo las ideas, para adecuarse a las de otras p</w:t>
      </w:r>
      <w:r w:rsidR="0099389C">
        <w:rPr>
          <w:rFonts w:ascii="Arial" w:hAnsi="Arial" w:cs="Arial"/>
        </w:rPr>
        <w:t>ersonas y llegar a un acuerdo.</w:t>
      </w:r>
    </w:p>
    <w:p w14:paraId="6DB2B067" w14:textId="77777777" w:rsidR="001F39E5" w:rsidRDefault="001F39E5" w:rsidP="001F39E5">
      <w:pPr>
        <w:rPr>
          <w:rFonts w:ascii="Arial" w:hAnsi="Arial" w:cs="Arial"/>
        </w:rPr>
      </w:pPr>
    </w:p>
    <w:p w14:paraId="7B265979" w14:textId="77777777" w:rsidR="0099389C" w:rsidRDefault="00E93FE1" w:rsidP="001F39E5">
      <w:pPr>
        <w:rPr>
          <w:rFonts w:ascii="Arial" w:hAnsi="Arial" w:cs="Arial"/>
        </w:rPr>
      </w:pPr>
      <w:r>
        <w:rPr>
          <w:rFonts w:ascii="Arial" w:hAnsi="Arial" w:cs="Arial"/>
        </w:rPr>
        <w:t>Teoría</w:t>
      </w:r>
      <w:r w:rsidR="0099389C">
        <w:rPr>
          <w:rFonts w:ascii="Arial" w:hAnsi="Arial" w:cs="Arial"/>
        </w:rPr>
        <w:t xml:space="preserve"> de la agenda de settings</w:t>
      </w:r>
    </w:p>
    <w:p w14:paraId="0943731E" w14:textId="77777777" w:rsidR="0099389C" w:rsidRDefault="0099389C" w:rsidP="001F39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Pensamiento </w:t>
      </w:r>
      <w:r w:rsidR="00E93FE1">
        <w:rPr>
          <w:rFonts w:ascii="Arial" w:hAnsi="Arial" w:cs="Arial"/>
        </w:rPr>
        <w:t>especulativo</w:t>
      </w:r>
      <w:r>
        <w:rPr>
          <w:rFonts w:ascii="Arial" w:hAnsi="Arial" w:cs="Arial"/>
        </w:rPr>
        <w:t xml:space="preserve"> de lo que se </w:t>
      </w:r>
      <w:r w:rsidR="00E93FE1">
        <w:rPr>
          <w:rFonts w:ascii="Arial" w:hAnsi="Arial" w:cs="Arial"/>
        </w:rPr>
        <w:t>hará</w:t>
      </w:r>
      <w:r>
        <w:rPr>
          <w:rFonts w:ascii="Arial" w:hAnsi="Arial" w:cs="Arial"/>
        </w:rPr>
        <w:t xml:space="preserve"> o se tiene que </w:t>
      </w:r>
      <w:r w:rsidR="00E93FE1">
        <w:rPr>
          <w:rFonts w:ascii="Arial" w:hAnsi="Arial" w:cs="Arial"/>
        </w:rPr>
        <w:t>hacer</w:t>
      </w:r>
      <w:r>
        <w:rPr>
          <w:rFonts w:ascii="Arial" w:hAnsi="Arial" w:cs="Arial"/>
        </w:rPr>
        <w:t xml:space="preserve"> para ajustar o </w:t>
      </w:r>
      <w:r w:rsidR="00E93FE1">
        <w:rPr>
          <w:rFonts w:ascii="Arial" w:hAnsi="Arial" w:cs="Arial"/>
        </w:rPr>
        <w:t>adaptar</w:t>
      </w:r>
      <w:r>
        <w:rPr>
          <w:rFonts w:ascii="Arial" w:hAnsi="Arial" w:cs="Arial"/>
        </w:rPr>
        <w:t xml:space="preserve"> ciertas cosas (</w:t>
      </w:r>
      <w:r w:rsidR="00E93FE1">
        <w:rPr>
          <w:rFonts w:ascii="Arial" w:hAnsi="Arial" w:cs="Arial"/>
        </w:rPr>
        <w:t>opiniones</w:t>
      </w:r>
      <w:r>
        <w:rPr>
          <w:rFonts w:ascii="Arial" w:hAnsi="Arial" w:cs="Arial"/>
        </w:rPr>
        <w:t>)</w:t>
      </w:r>
    </w:p>
    <w:p w14:paraId="7BA3F89F" w14:textId="77777777" w:rsidR="0099389C" w:rsidRDefault="0099389C" w:rsidP="001F39E5">
      <w:pPr>
        <w:rPr>
          <w:rFonts w:ascii="Arial" w:hAnsi="Arial" w:cs="Arial"/>
        </w:rPr>
      </w:pPr>
    </w:p>
    <w:p w14:paraId="69529FD2" w14:textId="77777777" w:rsidR="0099389C" w:rsidRPr="00881DBC" w:rsidRDefault="0099389C" w:rsidP="0099389C">
      <w:pPr>
        <w:rPr>
          <w:rFonts w:ascii="Arial" w:hAnsi="Arial" w:cs="Arial"/>
        </w:rPr>
      </w:pPr>
    </w:p>
    <w:sectPr w:rsidR="0099389C" w:rsidRPr="00881DBC" w:rsidSect="00C202F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1CB90C" w14:textId="77777777" w:rsidR="00685C63" w:rsidRDefault="00685C63" w:rsidP="001F5A3B">
      <w:r>
        <w:separator/>
      </w:r>
    </w:p>
  </w:endnote>
  <w:endnote w:type="continuationSeparator" w:id="0">
    <w:p w14:paraId="0D109D84" w14:textId="77777777" w:rsidR="00685C63" w:rsidRDefault="00685C63" w:rsidP="001F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5CCCF" w14:textId="77777777" w:rsidR="00685C63" w:rsidRDefault="00685C63" w:rsidP="001F5A3B">
      <w:r>
        <w:separator/>
      </w:r>
    </w:p>
  </w:footnote>
  <w:footnote w:type="continuationSeparator" w:id="0">
    <w:p w14:paraId="6178348E" w14:textId="77777777" w:rsidR="00685C63" w:rsidRDefault="00685C63" w:rsidP="001F5A3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76CB7" w14:textId="37842492" w:rsidR="001F5A3B" w:rsidRPr="001F5A3B" w:rsidRDefault="001F5A3B">
    <w:pPr>
      <w:pStyle w:val="Encabezado"/>
      <w:rPr>
        <w:lang w:val="es-ES"/>
      </w:rPr>
    </w:pPr>
    <w:r>
      <w:rPr>
        <w:lang w:val="es-ES"/>
      </w:rPr>
      <w:t>Alejandra Bernabe Mendiola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ABF"/>
    <w:rsid w:val="000311AA"/>
    <w:rsid w:val="00153682"/>
    <w:rsid w:val="001F39E5"/>
    <w:rsid w:val="001F5A3B"/>
    <w:rsid w:val="002B4097"/>
    <w:rsid w:val="00393B06"/>
    <w:rsid w:val="0039498A"/>
    <w:rsid w:val="005F5784"/>
    <w:rsid w:val="00685C63"/>
    <w:rsid w:val="006E5E46"/>
    <w:rsid w:val="00881DBC"/>
    <w:rsid w:val="0099389C"/>
    <w:rsid w:val="00AB6892"/>
    <w:rsid w:val="00B52ABF"/>
    <w:rsid w:val="00C202FD"/>
    <w:rsid w:val="00C4466B"/>
    <w:rsid w:val="00E90369"/>
    <w:rsid w:val="00E9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CA5F3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81D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81D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3682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es-ES_tradnl"/>
    </w:rPr>
  </w:style>
  <w:style w:type="paragraph" w:styleId="Puesto">
    <w:name w:val="Title"/>
    <w:basedOn w:val="Normal"/>
    <w:next w:val="Normal"/>
    <w:link w:val="PuestoCar"/>
    <w:uiPriority w:val="10"/>
    <w:qFormat/>
    <w:rsid w:val="00881DB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881D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881D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881D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ibliografa">
    <w:name w:val="Bibliography"/>
    <w:basedOn w:val="Normal"/>
    <w:next w:val="Normal"/>
    <w:uiPriority w:val="37"/>
    <w:unhideWhenUsed/>
    <w:rsid w:val="00C4466B"/>
  </w:style>
  <w:style w:type="paragraph" w:styleId="Encabezado">
    <w:name w:val="header"/>
    <w:basedOn w:val="Normal"/>
    <w:link w:val="EncabezadoCar"/>
    <w:uiPriority w:val="99"/>
    <w:unhideWhenUsed/>
    <w:rsid w:val="001F5A3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5A3B"/>
  </w:style>
  <w:style w:type="paragraph" w:styleId="Piedepgina">
    <w:name w:val="footer"/>
    <w:basedOn w:val="Normal"/>
    <w:link w:val="PiedepginaCar"/>
    <w:uiPriority w:val="99"/>
    <w:unhideWhenUsed/>
    <w:rsid w:val="001F5A3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5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4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7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95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35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47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46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84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33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19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9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75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25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5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>
  <b:Source>
    <b:Tag>Raq04</b:Tag>
    <b:SourceType>Book</b:SourceType>
    <b:Guid>{7F8D3C12-0356-274F-AF77-C3B3ACE05FB3}</b:Guid>
    <b:Author>
      <b:Author>
        <b:NameList>
          <b:Person>
            <b:Last>Díaz</b:Last>
            <b:First>Raquel</b:First>
            <b:Middle>Rodríguez</b:Middle>
          </b:Person>
        </b:NameList>
      </b:Author>
      <b:Editor>
        <b:NameList>
          <b:Person>
            <b:Last>Alaminos.</b:Last>
            <b:First>A.</b:First>
            <b:Middle>F.</b:Middle>
          </b:Person>
        </b:NameList>
      </b:Editor>
    </b:Author>
    <b:Title>Teoría de la Agenda-Setting aplicación a la enseñanza universitaria</b:Title>
    <b:CountryRegion>España</b:CountryRegion>
    <b:Publisher>Observatorio Europeo de Tendencias Sociales</b:Publisher>
    <b:Year>2004</b:Year>
    <b:Pages>156</b:Pages>
    <b:RefOrder>1</b:RefOrder>
  </b:Source>
  <b:Source>
    <b:Tag>Fer</b:Tag>
    <b:SourceType>Book</b:SourceType>
    <b:Guid>{7863EE96-C886-0E4B-B561-E8D00B2A5847}</b:Guid>
    <b:Author>
      <b:Author>
        <b:NameList>
          <b:Person>
            <b:Last>Petrone</b:Last>
            <b:First>Fernando</b:First>
            <b:Middle>A.</b:Middle>
          </b:Person>
        </b:NameList>
      </b:Author>
    </b:Author>
    <b:Title>Estudios de Agenda Setting. Conceptos, metodologías y abordajes posibles.</b:Title>
    <b:CountryRegion>18</b:CountryRegion>
    <b:RefOrder>2</b:RefOrder>
  </b:Source>
</b:Sources>
</file>

<file path=customXml/itemProps1.xml><?xml version="1.0" encoding="utf-8"?>
<ds:datastoreItem xmlns:ds="http://schemas.openxmlformats.org/officeDocument/2006/customXml" ds:itemID="{9D6396DD-6727-CF44-9BB9-93E68E05A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898</Words>
  <Characters>4941</Characters>
  <Application>Microsoft Macintosh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Por un lado tenemos la Agenda Pública, que puede ser definida como la lista de a</vt:lpstr>
      <vt:lpstr>Metodología de esta Teoria de Settings son apartir de las investigaciones con di</vt:lpstr>
      <vt:lpstr>Trabajos citados</vt:lpstr>
    </vt:vector>
  </TitlesOfParts>
  <LinksUpToDate>false</LinksUpToDate>
  <CharactersWithSpaces>5828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ivette bernabe mendiola</dc:creator>
  <cp:keywords/>
  <dc:description/>
  <cp:lastModifiedBy>alejandra ivette bernabe mendiola</cp:lastModifiedBy>
  <cp:revision>5</cp:revision>
  <dcterms:created xsi:type="dcterms:W3CDTF">2015-11-01T19:30:00Z</dcterms:created>
  <dcterms:modified xsi:type="dcterms:W3CDTF">2015-11-06T04:38:00Z</dcterms:modified>
</cp:coreProperties>
</file>